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815" w:rsidRPr="003A312A" w:rsidRDefault="007F0355" w:rsidP="003A312A">
      <w:pPr>
        <w:jc w:val="center"/>
        <w:rPr>
          <w:rFonts w:cstheme="minorHAnsi"/>
          <w:b/>
          <w:u w:val="single"/>
        </w:rPr>
      </w:pPr>
      <w:r>
        <w:rPr>
          <w:rFonts w:cstheme="minorHAnsi"/>
          <w:b/>
          <w:color w:val="333333"/>
          <w:u w:val="single"/>
          <w:shd w:val="clear" w:color="auto" w:fill="FFFFFF"/>
        </w:rPr>
        <w:t xml:space="preserve">Scottish Government </w:t>
      </w:r>
      <w:r w:rsidR="003A312A" w:rsidRPr="003A312A">
        <w:rPr>
          <w:rFonts w:cstheme="minorHAnsi"/>
          <w:b/>
          <w:color w:val="333333"/>
          <w:u w:val="single"/>
          <w:shd w:val="clear" w:color="auto" w:fill="FFFFFF"/>
        </w:rPr>
        <w:t>C</w:t>
      </w:r>
      <w:r w:rsidR="00276815" w:rsidRPr="003A312A">
        <w:rPr>
          <w:rFonts w:cstheme="minorHAnsi"/>
          <w:b/>
          <w:color w:val="333333"/>
          <w:u w:val="single"/>
          <w:shd w:val="clear" w:color="auto" w:fill="FFFFFF"/>
        </w:rPr>
        <w:t>onsultation on draft statutory guida</w:t>
      </w:r>
      <w:r w:rsidR="003A312A" w:rsidRPr="003A312A">
        <w:rPr>
          <w:rFonts w:cstheme="minorHAnsi"/>
          <w:b/>
          <w:color w:val="333333"/>
          <w:u w:val="single"/>
          <w:shd w:val="clear" w:color="auto" w:fill="FFFFFF"/>
        </w:rPr>
        <w:t>nce on assessment of wellbeing</w:t>
      </w:r>
      <w:r>
        <w:rPr>
          <w:rFonts w:cstheme="minorHAnsi"/>
          <w:b/>
          <w:color w:val="333333"/>
          <w:u w:val="single"/>
          <w:shd w:val="clear" w:color="auto" w:fill="FFFFFF"/>
        </w:rPr>
        <w:t>, January 2022</w:t>
      </w:r>
    </w:p>
    <w:p w:rsidR="00DB095A" w:rsidRPr="00DB095A" w:rsidRDefault="00DB095A">
      <w:pPr>
        <w:rPr>
          <w:i/>
        </w:rPr>
      </w:pPr>
      <w:r w:rsidRPr="00DB095A">
        <w:rPr>
          <w:i/>
        </w:rPr>
        <w:t>[This consultation is on statutory guidance in line with Section 96(3) of the Children and Young People (Scotland) Act 2014 (the Act), which states that Scottish Ministers must issue guidance on how the eight wellbeing indicators are to be used to assess the wellbeing of a child or young person.]</w:t>
      </w:r>
    </w:p>
    <w:p w:rsidR="00276815" w:rsidRPr="003A312A" w:rsidRDefault="007F0355">
      <w:pPr>
        <w:rPr>
          <w:rFonts w:cstheme="minorHAnsi"/>
        </w:rPr>
      </w:pPr>
      <w:r>
        <w:rPr>
          <w:rFonts w:cstheme="minorHAnsi"/>
        </w:rPr>
        <w:t>Response submitted by Quakers in Scotland Parliamentary Engagement Working Group</w:t>
      </w:r>
    </w:p>
    <w:p w:rsidR="00276815" w:rsidRPr="00276815" w:rsidRDefault="00276815" w:rsidP="00276815">
      <w:pPr>
        <w:shd w:val="clear" w:color="auto" w:fill="FFFFFF"/>
        <w:spacing w:after="420" w:line="240" w:lineRule="auto"/>
        <w:rPr>
          <w:rFonts w:eastAsia="Times New Roman" w:cstheme="minorHAnsi"/>
          <w:color w:val="333333"/>
          <w:lang w:eastAsia="en-GB"/>
        </w:rPr>
      </w:pPr>
      <w:r w:rsidRPr="00276815">
        <w:rPr>
          <w:rFonts w:eastAsia="Times New Roman" w:cstheme="minorHAnsi"/>
          <w:color w:val="333333"/>
          <w:lang w:eastAsia="en-GB"/>
        </w:rPr>
        <w:t>1) How clear and easy is the guidance to understand? Completely Mostly Somewhat A little Not at all</w:t>
      </w:r>
    </w:p>
    <w:p w:rsidR="00276815" w:rsidRPr="00276815" w:rsidRDefault="00276815" w:rsidP="00276815">
      <w:pPr>
        <w:numPr>
          <w:ilvl w:val="0"/>
          <w:numId w:val="1"/>
        </w:numPr>
        <w:shd w:val="clear" w:color="auto" w:fill="FFFFFF"/>
        <w:spacing w:after="210" w:line="240" w:lineRule="auto"/>
        <w:ind w:left="600"/>
        <w:rPr>
          <w:rFonts w:eastAsia="Times New Roman" w:cstheme="minorHAnsi"/>
          <w:color w:val="333333"/>
          <w:lang w:eastAsia="en-GB"/>
        </w:rPr>
      </w:pPr>
      <w:r w:rsidRPr="00276815">
        <w:rPr>
          <w:rFonts w:eastAsia="Times New Roman" w:cstheme="minorHAnsi"/>
          <w:color w:val="333333"/>
          <w:lang w:eastAsia="en-GB"/>
        </w:rPr>
        <w:t>Mostly</w:t>
      </w:r>
    </w:p>
    <w:p w:rsidR="00276815" w:rsidRPr="00276815" w:rsidRDefault="00276815" w:rsidP="00276815">
      <w:pPr>
        <w:shd w:val="clear" w:color="auto" w:fill="FFFFFF"/>
        <w:spacing w:after="420" w:line="240" w:lineRule="auto"/>
        <w:rPr>
          <w:rFonts w:eastAsia="Times New Roman" w:cstheme="minorHAnsi"/>
          <w:color w:val="333333"/>
          <w:lang w:eastAsia="en-GB"/>
        </w:rPr>
      </w:pPr>
      <w:r w:rsidRPr="00276815">
        <w:rPr>
          <w:rFonts w:eastAsia="Times New Roman" w:cstheme="minorHAnsi"/>
          <w:color w:val="333333"/>
          <w:lang w:eastAsia="en-GB"/>
        </w:rPr>
        <w:t>2) With regard to the assessment of wellbeing, within the overall </w:t>
      </w:r>
      <w:bookmarkStart w:id="0" w:name="_GoBack"/>
      <w:r w:rsidRPr="00276815">
        <w:rPr>
          <w:rFonts w:eastAsia="Times New Roman" w:cstheme="minorHAnsi"/>
          <w:color w:val="333333"/>
          <w:lang w:eastAsia="en-GB"/>
        </w:rPr>
        <w:t>GIR</w:t>
      </w:r>
      <w:bookmarkEnd w:id="0"/>
      <w:r w:rsidRPr="00276815">
        <w:rPr>
          <w:rFonts w:eastAsia="Times New Roman" w:cstheme="minorHAnsi"/>
          <w:color w:val="333333"/>
          <w:lang w:eastAsia="en-GB"/>
        </w:rPr>
        <w:t>FEC </w:t>
      </w:r>
      <w:r w:rsidR="00DA0FCE">
        <w:rPr>
          <w:rFonts w:eastAsia="Times New Roman" w:cstheme="minorHAnsi"/>
          <w:color w:val="333333"/>
          <w:lang w:eastAsia="en-GB"/>
        </w:rPr>
        <w:t xml:space="preserve">[Getting it Right for Every Child] </w:t>
      </w:r>
      <w:r w:rsidRPr="00276815">
        <w:rPr>
          <w:rFonts w:eastAsia="Times New Roman" w:cstheme="minorHAnsi"/>
          <w:color w:val="333333"/>
          <w:lang w:eastAsia="en-GB"/>
        </w:rPr>
        <w:t>approach, does the guidance make practitioners' roles and responsibilities clear? Completely Mostly Somewhat A little Not at all</w:t>
      </w:r>
    </w:p>
    <w:p w:rsidR="00276815" w:rsidRPr="00276815" w:rsidRDefault="00276815" w:rsidP="00276815">
      <w:pPr>
        <w:numPr>
          <w:ilvl w:val="0"/>
          <w:numId w:val="2"/>
        </w:numPr>
        <w:shd w:val="clear" w:color="auto" w:fill="FFFFFF"/>
        <w:spacing w:after="210" w:line="240" w:lineRule="auto"/>
        <w:ind w:left="600"/>
        <w:rPr>
          <w:rFonts w:eastAsia="Times New Roman" w:cstheme="minorHAnsi"/>
          <w:color w:val="333333"/>
          <w:lang w:eastAsia="en-GB"/>
        </w:rPr>
      </w:pPr>
      <w:r w:rsidRPr="00276815">
        <w:rPr>
          <w:rFonts w:eastAsia="Times New Roman" w:cstheme="minorHAnsi"/>
          <w:color w:val="333333"/>
          <w:lang w:eastAsia="en-GB"/>
        </w:rPr>
        <w:t>Somewhat</w:t>
      </w:r>
    </w:p>
    <w:p w:rsidR="00276815" w:rsidRPr="00276815" w:rsidRDefault="00276815" w:rsidP="00276815">
      <w:pPr>
        <w:shd w:val="clear" w:color="auto" w:fill="FFFFFF"/>
        <w:spacing w:after="420" w:line="240" w:lineRule="auto"/>
        <w:rPr>
          <w:rFonts w:eastAsia="Times New Roman" w:cstheme="minorHAnsi"/>
          <w:color w:val="333333"/>
          <w:lang w:eastAsia="en-GB"/>
        </w:rPr>
      </w:pPr>
      <w:r w:rsidRPr="00276815">
        <w:rPr>
          <w:rFonts w:eastAsia="Times New Roman" w:cstheme="minorHAnsi"/>
          <w:color w:val="333333"/>
          <w:lang w:eastAsia="en-GB"/>
        </w:rPr>
        <w:t>3) Are the definitions provided for the wellbeing indicators (section 6.1) clear and easy to understand? Completely Mostly Somewhat A little Not at all</w:t>
      </w:r>
    </w:p>
    <w:p w:rsidR="00276815" w:rsidRPr="00276815" w:rsidRDefault="00276815" w:rsidP="00276815">
      <w:pPr>
        <w:numPr>
          <w:ilvl w:val="0"/>
          <w:numId w:val="3"/>
        </w:numPr>
        <w:shd w:val="clear" w:color="auto" w:fill="FFFFFF"/>
        <w:spacing w:after="210" w:line="240" w:lineRule="auto"/>
        <w:ind w:left="600"/>
        <w:rPr>
          <w:rFonts w:eastAsia="Times New Roman" w:cstheme="minorHAnsi"/>
          <w:color w:val="333333"/>
          <w:lang w:eastAsia="en-GB"/>
        </w:rPr>
      </w:pPr>
      <w:r w:rsidRPr="00276815">
        <w:rPr>
          <w:rFonts w:eastAsia="Times New Roman" w:cstheme="minorHAnsi"/>
          <w:color w:val="333333"/>
          <w:lang w:eastAsia="en-GB"/>
        </w:rPr>
        <w:t>Mostly</w:t>
      </w:r>
    </w:p>
    <w:p w:rsidR="00276815" w:rsidRPr="00276815" w:rsidRDefault="00276815" w:rsidP="00276815">
      <w:pPr>
        <w:shd w:val="clear" w:color="auto" w:fill="FFFFFF"/>
        <w:spacing w:after="420" w:line="240" w:lineRule="auto"/>
        <w:rPr>
          <w:rFonts w:eastAsia="Times New Roman" w:cstheme="minorHAnsi"/>
          <w:color w:val="333333"/>
          <w:lang w:eastAsia="en-GB"/>
        </w:rPr>
      </w:pPr>
      <w:r w:rsidRPr="00276815">
        <w:rPr>
          <w:rFonts w:eastAsia="Times New Roman" w:cstheme="minorHAnsi"/>
          <w:color w:val="333333"/>
          <w:lang w:eastAsia="en-GB"/>
        </w:rPr>
        <w:t>4) To what extent do you think that the guidance will help practitioners understand how to embed the United Nations Convention on the Rights of the Child, and to protect, respect and uphold children's rights within the assessment of wellbeing? Completely Mostly Somewhat A little Not at all</w:t>
      </w:r>
    </w:p>
    <w:p w:rsidR="00276815" w:rsidRPr="00276815" w:rsidRDefault="00276815" w:rsidP="00276815">
      <w:pPr>
        <w:numPr>
          <w:ilvl w:val="0"/>
          <w:numId w:val="4"/>
        </w:numPr>
        <w:shd w:val="clear" w:color="auto" w:fill="FFFFFF"/>
        <w:spacing w:after="210" w:line="240" w:lineRule="auto"/>
        <w:ind w:left="600"/>
        <w:rPr>
          <w:rFonts w:eastAsia="Times New Roman" w:cstheme="minorHAnsi"/>
          <w:color w:val="333333"/>
          <w:lang w:eastAsia="en-GB"/>
        </w:rPr>
      </w:pPr>
      <w:r w:rsidRPr="00276815">
        <w:rPr>
          <w:rFonts w:eastAsia="Times New Roman" w:cstheme="minorHAnsi"/>
          <w:color w:val="333333"/>
          <w:lang w:eastAsia="en-GB"/>
        </w:rPr>
        <w:t>A little</w:t>
      </w:r>
    </w:p>
    <w:p w:rsidR="00276815" w:rsidRPr="003A312A" w:rsidRDefault="00276815" w:rsidP="00276815">
      <w:pPr>
        <w:shd w:val="clear" w:color="auto" w:fill="FFFFFF"/>
        <w:spacing w:after="420" w:line="240" w:lineRule="auto"/>
        <w:rPr>
          <w:rFonts w:eastAsia="Times New Roman" w:cstheme="minorHAnsi"/>
          <w:color w:val="333333"/>
          <w:lang w:eastAsia="en-GB"/>
        </w:rPr>
      </w:pPr>
      <w:r w:rsidRPr="00276815">
        <w:rPr>
          <w:rFonts w:eastAsia="Times New Roman" w:cstheme="minorHAnsi"/>
          <w:color w:val="333333"/>
          <w:lang w:eastAsia="en-GB"/>
        </w:rPr>
        <w:t>5) Can you outline anything specific that would be helpful to add to this guidance to assist the</w:t>
      </w:r>
      <w:r w:rsidRPr="003A312A">
        <w:rPr>
          <w:rFonts w:eastAsia="Times New Roman" w:cstheme="minorHAnsi"/>
          <w:color w:val="333333"/>
          <w:lang w:eastAsia="en-GB"/>
        </w:rPr>
        <w:t xml:space="preserve"> </w:t>
      </w:r>
      <w:r w:rsidRPr="00276815">
        <w:rPr>
          <w:rFonts w:eastAsia="Times New Roman" w:cstheme="minorHAnsi"/>
          <w:color w:val="333333"/>
          <w:lang w:eastAsia="en-GB"/>
        </w:rPr>
        <w:t>assessment of wellbeing?</w:t>
      </w:r>
    </w:p>
    <w:p w:rsidR="00D46FF5" w:rsidRPr="003A312A" w:rsidRDefault="002F1B49" w:rsidP="00276815">
      <w:pPr>
        <w:shd w:val="clear" w:color="auto" w:fill="FFFFFF"/>
        <w:spacing w:after="420" w:line="240" w:lineRule="auto"/>
        <w:rPr>
          <w:rFonts w:eastAsia="Times New Roman" w:cstheme="minorHAnsi"/>
          <w:color w:val="333333"/>
          <w:lang w:eastAsia="en-GB"/>
        </w:rPr>
      </w:pPr>
      <w:r w:rsidRPr="003A312A">
        <w:rPr>
          <w:rFonts w:eastAsia="Times New Roman" w:cstheme="minorHAnsi"/>
          <w:color w:val="333333"/>
          <w:lang w:eastAsia="en-GB"/>
        </w:rPr>
        <w:t>While the draft guidance provides an adequate explanation of the concepts, frameworks and intentions within the Children and Young People (Scotland) Act 2014, there is insufficient guidance on the practicalities of assessments</w:t>
      </w:r>
      <w:r w:rsidR="00D46FF5" w:rsidRPr="003A312A">
        <w:rPr>
          <w:rFonts w:eastAsia="Times New Roman" w:cstheme="minorHAnsi"/>
          <w:color w:val="333333"/>
          <w:lang w:eastAsia="en-GB"/>
        </w:rPr>
        <w:t>. In particular we feel</w:t>
      </w:r>
      <w:r w:rsidR="007F0355">
        <w:rPr>
          <w:rFonts w:eastAsia="Times New Roman" w:cstheme="minorHAnsi"/>
          <w:color w:val="333333"/>
          <w:lang w:eastAsia="en-GB"/>
        </w:rPr>
        <w:t>:</w:t>
      </w:r>
    </w:p>
    <w:p w:rsidR="007A1F0F" w:rsidRPr="003A312A" w:rsidRDefault="00D46FF5" w:rsidP="007A1F0F">
      <w:pPr>
        <w:pStyle w:val="ListParagraph"/>
        <w:numPr>
          <w:ilvl w:val="0"/>
          <w:numId w:val="6"/>
        </w:numPr>
        <w:shd w:val="clear" w:color="auto" w:fill="FFFFFF"/>
        <w:spacing w:after="420" w:line="240" w:lineRule="auto"/>
        <w:rPr>
          <w:rFonts w:eastAsia="Times New Roman" w:cstheme="minorHAnsi"/>
          <w:color w:val="333333"/>
          <w:lang w:eastAsia="en-GB"/>
        </w:rPr>
      </w:pPr>
      <w:r w:rsidRPr="003A312A">
        <w:rPr>
          <w:rFonts w:eastAsia="Times New Roman" w:cstheme="minorHAnsi"/>
          <w:color w:val="333333"/>
          <w:lang w:eastAsia="en-GB"/>
        </w:rPr>
        <w:t>There is a lack of detail concerning when a wellbeing assessment should be made and</w:t>
      </w:r>
      <w:r w:rsidR="007A1F0F" w:rsidRPr="003A312A">
        <w:rPr>
          <w:rFonts w:eastAsia="Times New Roman" w:cstheme="minorHAnsi"/>
          <w:color w:val="333333"/>
          <w:lang w:eastAsia="en-GB"/>
        </w:rPr>
        <w:t xml:space="preserve"> the relevant triggers for such assessments</w:t>
      </w:r>
      <w:r w:rsidRPr="003A312A">
        <w:rPr>
          <w:rFonts w:eastAsia="Times New Roman" w:cstheme="minorHAnsi"/>
          <w:color w:val="333333"/>
          <w:lang w:eastAsia="en-GB"/>
        </w:rPr>
        <w:t>. As a result there is a risk that assessments</w:t>
      </w:r>
      <w:r w:rsidR="007A1F0F" w:rsidRPr="003A312A">
        <w:rPr>
          <w:rFonts w:eastAsia="Times New Roman" w:cstheme="minorHAnsi"/>
          <w:color w:val="333333"/>
          <w:lang w:eastAsia="en-GB"/>
        </w:rPr>
        <w:t xml:space="preserve"> will</w:t>
      </w:r>
      <w:r w:rsidRPr="003A312A">
        <w:rPr>
          <w:rFonts w:eastAsia="Times New Roman" w:cstheme="minorHAnsi"/>
          <w:color w:val="333333"/>
          <w:lang w:eastAsia="en-GB"/>
        </w:rPr>
        <w:t xml:space="preserve"> focus primarily on </w:t>
      </w:r>
      <w:r w:rsidR="007A1F0F" w:rsidRPr="003A312A">
        <w:rPr>
          <w:rFonts w:eastAsia="Times New Roman" w:cstheme="minorHAnsi"/>
          <w:color w:val="333333"/>
          <w:lang w:eastAsia="en-GB"/>
        </w:rPr>
        <w:t>the severest and clearest cut cases, issues of welfare rather than wellbeing. We feel this would blunt the aspirational nature of the Act.</w:t>
      </w:r>
    </w:p>
    <w:p w:rsidR="00E12C78" w:rsidRPr="003A312A" w:rsidRDefault="00D46FF5" w:rsidP="00AF000B">
      <w:pPr>
        <w:pStyle w:val="ListParagraph"/>
        <w:numPr>
          <w:ilvl w:val="0"/>
          <w:numId w:val="6"/>
        </w:numPr>
        <w:shd w:val="clear" w:color="auto" w:fill="FFFFFF"/>
        <w:spacing w:after="420" w:line="240" w:lineRule="auto"/>
        <w:rPr>
          <w:rFonts w:eastAsia="Times New Roman" w:cstheme="minorHAnsi"/>
          <w:color w:val="333333"/>
          <w:lang w:eastAsia="en-GB"/>
        </w:rPr>
      </w:pPr>
      <w:r w:rsidRPr="003A312A">
        <w:rPr>
          <w:rFonts w:eastAsia="Times New Roman" w:cstheme="minorHAnsi"/>
          <w:color w:val="333333"/>
          <w:lang w:eastAsia="en-GB"/>
        </w:rPr>
        <w:t>The relationship between the UNCRC and the we</w:t>
      </w:r>
      <w:r w:rsidR="007A1F0F" w:rsidRPr="003A312A">
        <w:rPr>
          <w:rFonts w:eastAsia="Times New Roman" w:cstheme="minorHAnsi"/>
          <w:color w:val="333333"/>
          <w:lang w:eastAsia="en-GB"/>
        </w:rPr>
        <w:t>llbeing indicators are not clear</w:t>
      </w:r>
      <w:r w:rsidR="00E12C78" w:rsidRPr="003A312A">
        <w:rPr>
          <w:rFonts w:eastAsia="Times New Roman" w:cstheme="minorHAnsi"/>
          <w:color w:val="333333"/>
          <w:lang w:eastAsia="en-GB"/>
        </w:rPr>
        <w:t xml:space="preserve"> and it is assumed that in all cases the wellbeing indicators and the UNCRC are clearly aligned</w:t>
      </w:r>
      <w:r w:rsidR="007A1F0F" w:rsidRPr="003A312A">
        <w:rPr>
          <w:rFonts w:eastAsia="Times New Roman" w:cstheme="minorHAnsi"/>
          <w:color w:val="333333"/>
          <w:lang w:eastAsia="en-GB"/>
        </w:rPr>
        <w:t xml:space="preserve">. </w:t>
      </w:r>
      <w:r w:rsidR="00E12C78" w:rsidRPr="003A312A">
        <w:rPr>
          <w:rFonts w:eastAsia="Times New Roman" w:cstheme="minorHAnsi"/>
          <w:color w:val="333333"/>
          <w:lang w:eastAsia="en-GB"/>
        </w:rPr>
        <w:t>This is not always the case.</w:t>
      </w:r>
    </w:p>
    <w:p w:rsidR="00D46FF5" w:rsidRPr="003A312A" w:rsidRDefault="00E12C78" w:rsidP="00AF000B">
      <w:pPr>
        <w:pStyle w:val="ListParagraph"/>
        <w:numPr>
          <w:ilvl w:val="0"/>
          <w:numId w:val="6"/>
        </w:numPr>
        <w:shd w:val="clear" w:color="auto" w:fill="FFFFFF"/>
        <w:spacing w:after="420" w:line="240" w:lineRule="auto"/>
        <w:rPr>
          <w:rFonts w:eastAsia="Times New Roman" w:cstheme="minorHAnsi"/>
          <w:color w:val="333333"/>
          <w:lang w:eastAsia="en-GB"/>
        </w:rPr>
      </w:pPr>
      <w:r w:rsidRPr="003A312A">
        <w:rPr>
          <w:rFonts w:eastAsia="Times New Roman" w:cstheme="minorHAnsi"/>
          <w:color w:val="333333"/>
          <w:lang w:eastAsia="en-GB"/>
        </w:rPr>
        <w:t>Furthermore, t</w:t>
      </w:r>
      <w:r w:rsidR="007A1F0F" w:rsidRPr="003A312A">
        <w:rPr>
          <w:rFonts w:eastAsia="Times New Roman" w:cstheme="minorHAnsi"/>
          <w:color w:val="333333"/>
          <w:lang w:eastAsia="en-GB"/>
        </w:rPr>
        <w:t xml:space="preserve">he </w:t>
      </w:r>
      <w:r w:rsidRPr="003A312A">
        <w:rPr>
          <w:rFonts w:eastAsia="Times New Roman" w:cstheme="minorHAnsi"/>
          <w:color w:val="333333"/>
          <w:lang w:eastAsia="en-GB"/>
        </w:rPr>
        <w:t>guidance sh</w:t>
      </w:r>
      <w:r w:rsidR="00AF000B" w:rsidRPr="003A312A">
        <w:rPr>
          <w:rFonts w:eastAsia="Times New Roman" w:cstheme="minorHAnsi"/>
          <w:color w:val="333333"/>
          <w:lang w:eastAsia="en-GB"/>
        </w:rPr>
        <w:t xml:space="preserve">ould helpfully outline where the different Rights contained within the UNCRC relate to the competencies of different practitioners, and the </w:t>
      </w:r>
      <w:r w:rsidR="007A1F0F" w:rsidRPr="003A312A">
        <w:rPr>
          <w:rFonts w:eastAsia="Times New Roman" w:cstheme="minorHAnsi"/>
          <w:color w:val="333333"/>
          <w:lang w:eastAsia="en-GB"/>
        </w:rPr>
        <w:t xml:space="preserve">guidance should be explicit in stating that actions / activities that might be in </w:t>
      </w:r>
      <w:r w:rsidR="00AF000B" w:rsidRPr="003A312A">
        <w:rPr>
          <w:rFonts w:eastAsia="Times New Roman" w:cstheme="minorHAnsi"/>
          <w:color w:val="333333"/>
          <w:lang w:eastAsia="en-GB"/>
        </w:rPr>
        <w:t>conflict with</w:t>
      </w:r>
      <w:r w:rsidR="007A1F0F" w:rsidRPr="003A312A">
        <w:rPr>
          <w:rFonts w:eastAsia="Times New Roman" w:cstheme="minorHAnsi"/>
          <w:color w:val="333333"/>
          <w:lang w:eastAsia="en-GB"/>
        </w:rPr>
        <w:t xml:space="preserve"> the UNCRC should trigger an assessment</w:t>
      </w:r>
      <w:r w:rsidR="00AF000B" w:rsidRPr="003A312A">
        <w:rPr>
          <w:rFonts w:eastAsia="Times New Roman" w:cstheme="minorHAnsi"/>
          <w:color w:val="333333"/>
          <w:lang w:eastAsia="en-GB"/>
        </w:rPr>
        <w:t xml:space="preserve">. </w:t>
      </w:r>
    </w:p>
    <w:p w:rsidR="00924A9E" w:rsidRPr="003A312A" w:rsidRDefault="00AF000B" w:rsidP="00AF000B">
      <w:pPr>
        <w:shd w:val="clear" w:color="auto" w:fill="FFFFFF"/>
        <w:spacing w:after="420" w:line="240" w:lineRule="auto"/>
        <w:rPr>
          <w:rFonts w:eastAsia="Times New Roman" w:cstheme="minorHAnsi"/>
          <w:color w:val="333333"/>
          <w:lang w:eastAsia="en-GB"/>
        </w:rPr>
      </w:pPr>
      <w:r w:rsidRPr="003A312A">
        <w:rPr>
          <w:rFonts w:eastAsia="Times New Roman" w:cstheme="minorHAnsi"/>
          <w:color w:val="333333"/>
          <w:lang w:eastAsia="en-GB"/>
        </w:rPr>
        <w:lastRenderedPageBreak/>
        <w:t xml:space="preserve">The overall effect of these shortcomings is that, </w:t>
      </w:r>
      <w:r w:rsidR="00D46FF5" w:rsidRPr="003A312A">
        <w:rPr>
          <w:rFonts w:eastAsia="Times New Roman" w:cstheme="minorHAnsi"/>
          <w:color w:val="333333"/>
          <w:lang w:eastAsia="en-GB"/>
        </w:rPr>
        <w:t xml:space="preserve">while the broad principles of the Act appear clear, </w:t>
      </w:r>
      <w:r w:rsidRPr="003A312A">
        <w:rPr>
          <w:rFonts w:eastAsia="Times New Roman" w:cstheme="minorHAnsi"/>
          <w:color w:val="333333"/>
          <w:lang w:eastAsia="en-GB"/>
        </w:rPr>
        <w:t>the guidance does little to encourage or enable practitioners to combat anything but the most severest cases of infringement, leaving plenty of room for marginal but significant harms</w:t>
      </w:r>
      <w:r w:rsidR="00E12C78" w:rsidRPr="003A312A">
        <w:rPr>
          <w:rFonts w:eastAsia="Times New Roman" w:cstheme="minorHAnsi"/>
          <w:color w:val="333333"/>
          <w:lang w:eastAsia="en-GB"/>
        </w:rPr>
        <w:t xml:space="preserve"> to young people in Scotland</w:t>
      </w:r>
      <w:r w:rsidRPr="003A312A">
        <w:rPr>
          <w:rFonts w:eastAsia="Times New Roman" w:cstheme="minorHAnsi"/>
          <w:color w:val="333333"/>
          <w:lang w:eastAsia="en-GB"/>
        </w:rPr>
        <w:t>.</w:t>
      </w:r>
      <w:r w:rsidR="00924A9E" w:rsidRPr="003A312A">
        <w:rPr>
          <w:rFonts w:eastAsia="Times New Roman" w:cstheme="minorHAnsi"/>
          <w:color w:val="333333"/>
          <w:lang w:eastAsia="en-GB"/>
        </w:rPr>
        <w:t xml:space="preserve"> Acts which on a surface level could be seen to be compliant but are ultimately harmful.</w:t>
      </w:r>
    </w:p>
    <w:p w:rsidR="00D46FF5" w:rsidRPr="003A312A" w:rsidRDefault="00924A9E" w:rsidP="00AF000B">
      <w:pPr>
        <w:shd w:val="clear" w:color="auto" w:fill="FFFFFF"/>
        <w:spacing w:after="420" w:line="240" w:lineRule="auto"/>
        <w:rPr>
          <w:rFonts w:eastAsia="Times New Roman" w:cstheme="minorHAnsi"/>
          <w:color w:val="333333"/>
          <w:lang w:eastAsia="en-GB"/>
        </w:rPr>
      </w:pPr>
      <w:r w:rsidRPr="003A312A">
        <w:rPr>
          <w:rFonts w:eastAsia="Times New Roman" w:cstheme="minorHAnsi"/>
          <w:color w:val="333333"/>
          <w:lang w:eastAsia="en-GB"/>
        </w:rPr>
        <w:t>One such example</w:t>
      </w:r>
      <w:r w:rsidR="000F5DA8" w:rsidRPr="003A312A">
        <w:rPr>
          <w:rFonts w:eastAsia="Times New Roman" w:cstheme="minorHAnsi"/>
          <w:color w:val="333333"/>
          <w:lang w:eastAsia="en-GB"/>
        </w:rPr>
        <w:t xml:space="preserve"> where </w:t>
      </w:r>
      <w:r w:rsidR="00E12C78" w:rsidRPr="003A312A">
        <w:rPr>
          <w:rFonts w:eastAsia="Times New Roman" w:cstheme="minorHAnsi"/>
          <w:color w:val="333333"/>
          <w:lang w:eastAsia="en-GB"/>
        </w:rPr>
        <w:t xml:space="preserve">the notion of </w:t>
      </w:r>
      <w:r w:rsidR="000F5DA8" w:rsidRPr="003A312A">
        <w:rPr>
          <w:rFonts w:eastAsia="Times New Roman" w:cstheme="minorHAnsi"/>
          <w:color w:val="333333"/>
          <w:lang w:eastAsia="en-GB"/>
        </w:rPr>
        <w:t>wellbeing might be contested, and therefore greater detail</w:t>
      </w:r>
      <w:r w:rsidR="00E12C78" w:rsidRPr="003A312A">
        <w:rPr>
          <w:rFonts w:eastAsia="Times New Roman" w:cstheme="minorHAnsi"/>
          <w:color w:val="333333"/>
          <w:lang w:eastAsia="en-GB"/>
        </w:rPr>
        <w:t xml:space="preserve"> within the guidance</w:t>
      </w:r>
      <w:r w:rsidR="000F5DA8" w:rsidRPr="003A312A">
        <w:rPr>
          <w:rFonts w:eastAsia="Times New Roman" w:cstheme="minorHAnsi"/>
          <w:color w:val="333333"/>
          <w:lang w:eastAsia="en-GB"/>
        </w:rPr>
        <w:t xml:space="preserve"> required,</w:t>
      </w:r>
      <w:r w:rsidRPr="003A312A">
        <w:rPr>
          <w:rFonts w:eastAsia="Times New Roman" w:cstheme="minorHAnsi"/>
          <w:color w:val="333333"/>
          <w:lang w:eastAsia="en-GB"/>
        </w:rPr>
        <w:t xml:space="preserve"> would be the involvement of the military within Scottish Education. </w:t>
      </w:r>
      <w:r w:rsidR="000F5DA8" w:rsidRPr="003A312A">
        <w:rPr>
          <w:rFonts w:eastAsia="Times New Roman" w:cstheme="minorHAnsi"/>
          <w:color w:val="333333"/>
          <w:lang w:eastAsia="en-GB"/>
        </w:rPr>
        <w:t xml:space="preserve">While some would argue that military involvement </w:t>
      </w:r>
      <w:r w:rsidR="00E12C78" w:rsidRPr="003A312A">
        <w:rPr>
          <w:rFonts w:eastAsia="Times New Roman" w:cstheme="minorHAnsi"/>
          <w:color w:val="333333"/>
          <w:lang w:eastAsia="en-GB"/>
        </w:rPr>
        <w:t>in education provides</w:t>
      </w:r>
      <w:r w:rsidR="000F5DA8" w:rsidRPr="003A312A">
        <w:rPr>
          <w:rFonts w:eastAsia="Times New Roman" w:cstheme="minorHAnsi"/>
          <w:color w:val="333333"/>
          <w:lang w:eastAsia="en-GB"/>
        </w:rPr>
        <w:t xml:space="preserve"> many opportunities to build upon the SHANARRI indicators, this view is also contested. There </w:t>
      </w:r>
      <w:r w:rsidRPr="003A312A">
        <w:rPr>
          <w:rFonts w:eastAsia="Times New Roman" w:cstheme="minorHAnsi"/>
          <w:color w:val="333333"/>
          <w:lang w:eastAsia="en-GB"/>
        </w:rPr>
        <w:t>is evidence</w:t>
      </w:r>
      <w:r w:rsidR="000F5DA8" w:rsidRPr="003A312A">
        <w:rPr>
          <w:rFonts w:eastAsia="Times New Roman" w:cstheme="minorHAnsi"/>
          <w:color w:val="333333"/>
          <w:lang w:eastAsia="en-GB"/>
        </w:rPr>
        <w:t>, for example,</w:t>
      </w:r>
      <w:r w:rsidRPr="003A312A">
        <w:rPr>
          <w:rFonts w:eastAsia="Times New Roman" w:cstheme="minorHAnsi"/>
          <w:color w:val="333333"/>
          <w:lang w:eastAsia="en-GB"/>
        </w:rPr>
        <w:t xml:space="preserve"> that such activities are part of a recruitment pathway into</w:t>
      </w:r>
      <w:r w:rsidR="000F5DA8" w:rsidRPr="003A312A">
        <w:rPr>
          <w:rFonts w:eastAsia="Times New Roman" w:cstheme="minorHAnsi"/>
          <w:color w:val="333333"/>
          <w:lang w:eastAsia="en-GB"/>
        </w:rPr>
        <w:t xml:space="preserve"> armed forces and the UNCRC challenges the recruitment of under 16s. </w:t>
      </w:r>
      <w:r w:rsidR="00E12C78" w:rsidRPr="003A312A">
        <w:rPr>
          <w:rFonts w:eastAsia="Times New Roman" w:cstheme="minorHAnsi"/>
          <w:color w:val="333333"/>
          <w:lang w:eastAsia="en-GB"/>
        </w:rPr>
        <w:t xml:space="preserve">Moreover, we know that on average </w:t>
      </w:r>
      <w:r w:rsidR="000F5DA8" w:rsidRPr="003A312A">
        <w:rPr>
          <w:rFonts w:eastAsia="Times New Roman" w:cstheme="minorHAnsi"/>
          <w:color w:val="333333"/>
          <w:lang w:eastAsia="en-GB"/>
        </w:rPr>
        <w:t xml:space="preserve">children who join the armed forces face greater risks to health and poorer wellbeing than their demographically matched counterparts within the general population. At present the </w:t>
      </w:r>
      <w:r w:rsidR="00E12C78" w:rsidRPr="003A312A">
        <w:rPr>
          <w:rFonts w:eastAsia="Times New Roman" w:cstheme="minorHAnsi"/>
          <w:color w:val="333333"/>
          <w:lang w:eastAsia="en-GB"/>
        </w:rPr>
        <w:t xml:space="preserve">draft </w:t>
      </w:r>
      <w:r w:rsidR="000F5DA8" w:rsidRPr="003A312A">
        <w:rPr>
          <w:rFonts w:eastAsia="Times New Roman" w:cstheme="minorHAnsi"/>
          <w:color w:val="333333"/>
          <w:lang w:eastAsia="en-GB"/>
        </w:rPr>
        <w:t xml:space="preserve">guidance would offer little support to Local Authorities or </w:t>
      </w:r>
      <w:r w:rsidR="00E12C78" w:rsidRPr="003A312A">
        <w:rPr>
          <w:rFonts w:eastAsia="Times New Roman" w:cstheme="minorHAnsi"/>
          <w:color w:val="333333"/>
          <w:lang w:eastAsia="en-GB"/>
        </w:rPr>
        <w:t>Head Teachers</w:t>
      </w:r>
      <w:r w:rsidR="000F5DA8" w:rsidRPr="003A312A">
        <w:rPr>
          <w:rFonts w:eastAsia="Times New Roman" w:cstheme="minorHAnsi"/>
          <w:color w:val="333333"/>
          <w:lang w:eastAsia="en-GB"/>
        </w:rPr>
        <w:t xml:space="preserve"> seeking to </w:t>
      </w:r>
      <w:r w:rsidR="00E12C78" w:rsidRPr="003A312A">
        <w:rPr>
          <w:rFonts w:eastAsia="Times New Roman" w:cstheme="minorHAnsi"/>
          <w:color w:val="333333"/>
          <w:lang w:eastAsia="en-GB"/>
        </w:rPr>
        <w:t>determine</w:t>
      </w:r>
      <w:r w:rsidR="000F5DA8" w:rsidRPr="003A312A">
        <w:rPr>
          <w:rFonts w:eastAsia="Times New Roman" w:cstheme="minorHAnsi"/>
          <w:color w:val="333333"/>
          <w:lang w:eastAsia="en-GB"/>
        </w:rPr>
        <w:t xml:space="preserve"> whether </w:t>
      </w:r>
      <w:r w:rsidR="00E12C78" w:rsidRPr="003A312A">
        <w:rPr>
          <w:rFonts w:eastAsia="Times New Roman" w:cstheme="minorHAnsi"/>
          <w:color w:val="333333"/>
          <w:lang w:eastAsia="en-GB"/>
        </w:rPr>
        <w:t xml:space="preserve">to undertake an assessment of wellbeing in this instance, nor how they might square the UNCRC’s challenge to military recruitment against claims that military activities within schools can build, for example, achievement or responsibility. It is our view that if this guidance is to have genuine utility it should </w:t>
      </w:r>
      <w:r w:rsidR="003A312A" w:rsidRPr="003A312A">
        <w:rPr>
          <w:rFonts w:eastAsia="Times New Roman" w:cstheme="minorHAnsi"/>
          <w:color w:val="333333"/>
          <w:lang w:eastAsia="en-GB"/>
        </w:rPr>
        <w:t>seek to enable practitioners to address these, and other, similar scenarios.</w:t>
      </w:r>
      <w:r w:rsidR="00E12C78" w:rsidRPr="003A312A">
        <w:rPr>
          <w:rFonts w:eastAsia="Times New Roman" w:cstheme="minorHAnsi"/>
          <w:color w:val="333333"/>
          <w:lang w:eastAsia="en-GB"/>
        </w:rPr>
        <w:t xml:space="preserve"> </w:t>
      </w:r>
    </w:p>
    <w:p w:rsidR="002F1B49" w:rsidRPr="00276815" w:rsidRDefault="002F1B49" w:rsidP="00276815">
      <w:pPr>
        <w:shd w:val="clear" w:color="auto" w:fill="FFFFFF"/>
        <w:spacing w:after="420" w:line="240" w:lineRule="auto"/>
        <w:rPr>
          <w:rFonts w:eastAsia="Times New Roman" w:cstheme="minorHAnsi"/>
          <w:color w:val="333333"/>
          <w:lang w:eastAsia="en-GB"/>
        </w:rPr>
      </w:pPr>
    </w:p>
    <w:p w:rsidR="00276815" w:rsidRPr="00276815" w:rsidRDefault="00276815" w:rsidP="00276815">
      <w:pPr>
        <w:shd w:val="clear" w:color="auto" w:fill="FFFFFF"/>
        <w:spacing w:after="420" w:line="240" w:lineRule="auto"/>
        <w:rPr>
          <w:rFonts w:eastAsia="Times New Roman" w:cstheme="minorHAnsi"/>
          <w:color w:val="333333"/>
          <w:lang w:eastAsia="en-GB"/>
        </w:rPr>
      </w:pPr>
      <w:r w:rsidRPr="00276815">
        <w:rPr>
          <w:rFonts w:eastAsia="Times New Roman" w:cstheme="minorHAnsi"/>
          <w:color w:val="333333"/>
          <w:lang w:eastAsia="en-GB"/>
        </w:rPr>
        <w:t>6) Are there any areas where the further development of resources or guidance would be helpful in supporting the assessment of wellbeing?</w:t>
      </w:r>
    </w:p>
    <w:p w:rsidR="00276815" w:rsidRPr="003A312A" w:rsidRDefault="003A312A">
      <w:pPr>
        <w:rPr>
          <w:rFonts w:cstheme="minorHAnsi"/>
        </w:rPr>
      </w:pPr>
      <w:r w:rsidRPr="003A312A">
        <w:rPr>
          <w:rFonts w:cstheme="minorHAnsi"/>
          <w:color w:val="333333"/>
          <w:shd w:val="clear" w:color="auto" w:fill="FFFFFF"/>
        </w:rPr>
        <w:t>As above</w:t>
      </w:r>
    </w:p>
    <w:sectPr w:rsidR="00276815" w:rsidRPr="003A31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E76D87"/>
    <w:multiLevelType w:val="multilevel"/>
    <w:tmpl w:val="3E4A2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CE383D"/>
    <w:multiLevelType w:val="multilevel"/>
    <w:tmpl w:val="7520C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B30334"/>
    <w:multiLevelType w:val="hybridMultilevel"/>
    <w:tmpl w:val="E8DA93B8"/>
    <w:lvl w:ilvl="0" w:tplc="866201BC">
      <w:start w:val="5"/>
      <w:numFmt w:val="bullet"/>
      <w:lvlText w:val="-"/>
      <w:lvlJc w:val="left"/>
      <w:pPr>
        <w:ind w:left="720" w:hanging="360"/>
      </w:pPr>
      <w:rPr>
        <w:rFonts w:ascii="Helvetica" w:eastAsia="Times New Roman"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AA03A1"/>
    <w:multiLevelType w:val="multilevel"/>
    <w:tmpl w:val="C9903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256CFC"/>
    <w:multiLevelType w:val="hybridMultilevel"/>
    <w:tmpl w:val="26E8D64E"/>
    <w:lvl w:ilvl="0" w:tplc="52E6A73C">
      <w:start w:val="5"/>
      <w:numFmt w:val="bullet"/>
      <w:lvlText w:val="-"/>
      <w:lvlJc w:val="left"/>
      <w:pPr>
        <w:ind w:left="720" w:hanging="360"/>
      </w:pPr>
      <w:rPr>
        <w:rFonts w:ascii="Helvetica" w:eastAsia="Times New Roman"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5C105D"/>
    <w:multiLevelType w:val="multilevel"/>
    <w:tmpl w:val="EFD0B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815"/>
    <w:rsid w:val="000F5DA8"/>
    <w:rsid w:val="00276815"/>
    <w:rsid w:val="002F1B49"/>
    <w:rsid w:val="003A312A"/>
    <w:rsid w:val="003C53DC"/>
    <w:rsid w:val="00511439"/>
    <w:rsid w:val="007A1F0F"/>
    <w:rsid w:val="007F0355"/>
    <w:rsid w:val="00924A9E"/>
    <w:rsid w:val="00AF000B"/>
    <w:rsid w:val="00D46FF5"/>
    <w:rsid w:val="00DA0FCE"/>
    <w:rsid w:val="00DB095A"/>
    <w:rsid w:val="00E12C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CD5BC5-7440-406F-819E-F67BDF5E2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27681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6815"/>
    <w:rPr>
      <w:color w:val="0000FF"/>
      <w:u w:val="single"/>
    </w:rPr>
  </w:style>
  <w:style w:type="character" w:customStyle="1" w:styleId="Heading4Char">
    <w:name w:val="Heading 4 Char"/>
    <w:basedOn w:val="DefaultParagraphFont"/>
    <w:link w:val="Heading4"/>
    <w:uiPriority w:val="9"/>
    <w:rsid w:val="00276815"/>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2768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76815"/>
    <w:rPr>
      <w:b/>
      <w:bCs/>
    </w:rPr>
  </w:style>
  <w:style w:type="paragraph" w:styleId="ListParagraph">
    <w:name w:val="List Paragraph"/>
    <w:basedOn w:val="Normal"/>
    <w:uiPriority w:val="34"/>
    <w:qFormat/>
    <w:rsid w:val="00D46F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1747732">
      <w:bodyDiv w:val="1"/>
      <w:marLeft w:val="0"/>
      <w:marRight w:val="0"/>
      <w:marTop w:val="0"/>
      <w:marBottom w:val="0"/>
      <w:divBdr>
        <w:top w:val="none" w:sz="0" w:space="0" w:color="auto"/>
        <w:left w:val="none" w:sz="0" w:space="0" w:color="auto"/>
        <w:bottom w:val="none" w:sz="0" w:space="0" w:color="auto"/>
        <w:right w:val="none" w:sz="0" w:space="0" w:color="auto"/>
      </w:divBdr>
      <w:divsChild>
        <w:div w:id="1588688265">
          <w:marLeft w:val="0"/>
          <w:marRight w:val="0"/>
          <w:marTop w:val="0"/>
          <w:marBottom w:val="0"/>
          <w:divBdr>
            <w:top w:val="none" w:sz="0" w:space="0" w:color="auto"/>
            <w:left w:val="none" w:sz="0" w:space="0" w:color="auto"/>
            <w:bottom w:val="none" w:sz="0" w:space="0" w:color="auto"/>
            <w:right w:val="none" w:sz="0" w:space="0" w:color="auto"/>
          </w:divBdr>
        </w:div>
      </w:divsChild>
    </w:div>
    <w:div w:id="155065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639</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RSOF</Company>
  <LinksUpToDate>false</LinksUpToDate>
  <CharactersWithSpaces>4279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Tomlinson</dc:creator>
  <cp:keywords/>
  <dc:description/>
  <cp:lastModifiedBy>Carolyn Burch</cp:lastModifiedBy>
  <cp:revision>6</cp:revision>
  <dcterms:created xsi:type="dcterms:W3CDTF">2022-01-13T12:45:00Z</dcterms:created>
  <dcterms:modified xsi:type="dcterms:W3CDTF">2022-01-26T10:31:00Z</dcterms:modified>
</cp:coreProperties>
</file>